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введении в действие типовой программы обучения работам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Руководствуясь </w:t>
      </w:r>
      <w:r>
        <w:rPr>
          <w:rFonts w:hAnsi="Times New Roman" w:cs="Times New Roman"/>
          <w:color w:val="000000"/>
          <w:sz w:val="24"/>
          <w:szCs w:val="24"/>
        </w:rPr>
        <w:t>статьей 219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Правилами по охране труда на высоте, утвержденными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программу обучения работам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Аттестационной комиссии по обучению работам на высоте при проведении обучения руководствоваться утвержденной программой.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Аттестационной комиссии пересматривать программы обучения по мере изменения законодательства, технологического процесса и других изменений.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выполнением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d6827685b664c2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